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643D5" w14:textId="77777777" w:rsidR="009477C7" w:rsidRDefault="009477C7" w:rsidP="009477C7">
      <w:pPr>
        <w:jc w:val="right"/>
        <w:sectPr w:rsidR="009477C7" w:rsidSect="001A1A38">
          <w:headerReference w:type="even" r:id="rId10"/>
          <w:headerReference w:type="default" r:id="rId11"/>
          <w:footerReference w:type="even" r:id="rId12"/>
          <w:footerReference w:type="default" r:id="rId13"/>
          <w:headerReference w:type="first" r:id="rId14"/>
          <w:footerReference w:type="first" r:id="rId15"/>
          <w:pgSz w:w="11906" w:h="16838"/>
          <w:pgMar w:top="568" w:right="1440" w:bottom="1440" w:left="1440" w:header="142" w:footer="0" w:gutter="0"/>
          <w:cols w:space="708"/>
          <w:titlePg/>
          <w:docGrid w:linePitch="360"/>
        </w:sectPr>
      </w:pPr>
      <w:r>
        <w:rPr>
          <w:noProof/>
        </w:rPr>
        <w:drawing>
          <wp:inline distT="0" distB="0" distL="0" distR="0" wp14:anchorId="62960633" wp14:editId="3078C1F2">
            <wp:extent cx="2532937" cy="1119701"/>
            <wp:effectExtent l="0" t="0" r="1270" b="4445"/>
            <wp:docPr id="4" name="Picture 4" descr="First Nations Digital Inclusion Advisor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53205" cy="1128661"/>
                    </a:xfrm>
                    <a:prstGeom prst="rect">
                      <a:avLst/>
                    </a:prstGeom>
                  </pic:spPr>
                </pic:pic>
              </a:graphicData>
            </a:graphic>
          </wp:inline>
        </w:drawing>
      </w:r>
    </w:p>
    <w:p w14:paraId="08337BB7" w14:textId="5FC8CB0C" w:rsidR="00795D6C" w:rsidRPr="00795D6C" w:rsidRDefault="0083028C" w:rsidP="0083028C">
      <w:pPr>
        <w:pStyle w:val="Title"/>
        <w:spacing w:before="0"/>
        <w:rPr>
          <w:color w:val="081E3F"/>
          <w:sz w:val="48"/>
          <w:szCs w:val="48"/>
        </w:rPr>
      </w:pPr>
      <w:r w:rsidRPr="00795D6C">
        <w:rPr>
          <w:color w:val="081E3F"/>
          <w:sz w:val="48"/>
          <w:szCs w:val="48"/>
        </w:rPr>
        <w:t>First Nations Digital Inclu</w:t>
      </w:r>
      <w:r w:rsidR="00465EB8" w:rsidRPr="00795D6C">
        <w:rPr>
          <w:color w:val="081E3F"/>
          <w:sz w:val="48"/>
          <w:szCs w:val="48"/>
        </w:rPr>
        <w:t>s</w:t>
      </w:r>
      <w:r w:rsidRPr="00795D6C">
        <w:rPr>
          <w:color w:val="081E3F"/>
          <w:sz w:val="48"/>
          <w:szCs w:val="48"/>
        </w:rPr>
        <w:t>ion Advisory Group</w:t>
      </w:r>
    </w:p>
    <w:p w14:paraId="01E8C84B" w14:textId="352279BB" w:rsidR="0083028C" w:rsidRDefault="0083028C" w:rsidP="0083028C">
      <w:pPr>
        <w:pStyle w:val="Title"/>
        <w:spacing w:before="0"/>
        <w:rPr>
          <w:color w:val="081E3F"/>
          <w:sz w:val="48"/>
          <w:szCs w:val="48"/>
        </w:rPr>
      </w:pPr>
      <w:r w:rsidRPr="00795D6C">
        <w:rPr>
          <w:color w:val="081E3F"/>
          <w:sz w:val="48"/>
          <w:szCs w:val="48"/>
        </w:rPr>
        <w:t xml:space="preserve">Meeting </w:t>
      </w:r>
      <w:r w:rsidR="00873D8D" w:rsidRPr="00795D6C">
        <w:rPr>
          <w:color w:val="081E3F"/>
          <w:sz w:val="48"/>
          <w:szCs w:val="48"/>
        </w:rPr>
        <w:t>1</w:t>
      </w:r>
      <w:r w:rsidR="00500187" w:rsidRPr="00795D6C">
        <w:rPr>
          <w:color w:val="081E3F"/>
          <w:sz w:val="48"/>
          <w:szCs w:val="48"/>
        </w:rPr>
        <w:t>1</w:t>
      </w:r>
      <w:r w:rsidR="00795D6C">
        <w:rPr>
          <w:color w:val="081E3F"/>
          <w:sz w:val="48"/>
          <w:szCs w:val="48"/>
        </w:rPr>
        <w:t xml:space="preserve"> – communique</w:t>
      </w:r>
    </w:p>
    <w:p w14:paraId="126F33D3" w14:textId="6F5E9987" w:rsidR="0083028C" w:rsidRPr="007B7CCE" w:rsidRDefault="0083028C" w:rsidP="00795D6C">
      <w:pPr>
        <w:spacing w:before="120" w:after="120" w:line="240" w:lineRule="auto"/>
        <w:jc w:val="both"/>
        <w:rPr>
          <w:sz w:val="24"/>
          <w:szCs w:val="24"/>
        </w:rPr>
      </w:pPr>
      <w:r w:rsidRPr="007B7CCE">
        <w:rPr>
          <w:sz w:val="24"/>
          <w:szCs w:val="24"/>
        </w:rPr>
        <w:t>The First Nations Digital Inclusion Advisory Group</w:t>
      </w:r>
      <w:r w:rsidR="007D58D3">
        <w:rPr>
          <w:sz w:val="24"/>
          <w:szCs w:val="24"/>
        </w:rPr>
        <w:t xml:space="preserve"> (Advisory Group)</w:t>
      </w:r>
      <w:r w:rsidRPr="007B7CCE">
        <w:rPr>
          <w:sz w:val="24"/>
          <w:szCs w:val="24"/>
        </w:rPr>
        <w:t xml:space="preserve"> had its </w:t>
      </w:r>
      <w:r w:rsidR="00873D8D" w:rsidRPr="007B7CCE">
        <w:rPr>
          <w:sz w:val="24"/>
          <w:szCs w:val="24"/>
        </w:rPr>
        <w:t>1</w:t>
      </w:r>
      <w:r w:rsidR="00EB6C3E" w:rsidRPr="007B7CCE">
        <w:rPr>
          <w:sz w:val="24"/>
          <w:szCs w:val="24"/>
        </w:rPr>
        <w:t>1</w:t>
      </w:r>
      <w:r w:rsidR="00873D8D" w:rsidRPr="007B7CCE">
        <w:rPr>
          <w:sz w:val="24"/>
          <w:szCs w:val="24"/>
        </w:rPr>
        <w:t>th</w:t>
      </w:r>
      <w:r w:rsidRPr="007B7CCE">
        <w:rPr>
          <w:sz w:val="24"/>
          <w:szCs w:val="24"/>
        </w:rPr>
        <w:t xml:space="preserve"> meeting on </w:t>
      </w:r>
      <w:r w:rsidR="00EB6C3E" w:rsidRPr="007B7CCE">
        <w:rPr>
          <w:sz w:val="24"/>
          <w:szCs w:val="24"/>
        </w:rPr>
        <w:t>Thursday 2</w:t>
      </w:r>
      <w:r w:rsidR="00873D8D" w:rsidRPr="007B7CCE">
        <w:rPr>
          <w:sz w:val="24"/>
          <w:szCs w:val="24"/>
        </w:rPr>
        <w:t xml:space="preserve"> </w:t>
      </w:r>
      <w:r w:rsidR="00EB6C3E" w:rsidRPr="007B7CCE">
        <w:rPr>
          <w:sz w:val="24"/>
          <w:szCs w:val="24"/>
        </w:rPr>
        <w:t>October</w:t>
      </w:r>
      <w:r w:rsidR="00873D8D" w:rsidRPr="007B7CCE">
        <w:rPr>
          <w:sz w:val="24"/>
          <w:szCs w:val="24"/>
        </w:rPr>
        <w:t>, 2025</w:t>
      </w:r>
      <w:r w:rsidRPr="007B7CCE">
        <w:rPr>
          <w:sz w:val="24"/>
          <w:szCs w:val="24"/>
        </w:rPr>
        <w:t xml:space="preserve">. The meeting was held </w:t>
      </w:r>
      <w:r w:rsidR="00873D8D" w:rsidRPr="007B7CCE">
        <w:rPr>
          <w:sz w:val="24"/>
          <w:szCs w:val="24"/>
        </w:rPr>
        <w:t>in</w:t>
      </w:r>
      <w:r w:rsidRPr="007B7CCE">
        <w:rPr>
          <w:sz w:val="24"/>
          <w:szCs w:val="24"/>
        </w:rPr>
        <w:t xml:space="preserve"> </w:t>
      </w:r>
      <w:proofErr w:type="spellStart"/>
      <w:r w:rsidR="00EB6C3E" w:rsidRPr="00795D6C">
        <w:rPr>
          <w:sz w:val="24"/>
          <w:szCs w:val="24"/>
        </w:rPr>
        <w:t>Meanjin</w:t>
      </w:r>
      <w:proofErr w:type="spellEnd"/>
      <w:r w:rsidR="00EB6C3E" w:rsidRPr="007B7CCE">
        <w:rPr>
          <w:sz w:val="24"/>
          <w:szCs w:val="24"/>
        </w:rPr>
        <w:t xml:space="preserve"> </w:t>
      </w:r>
      <w:r w:rsidR="00873D8D" w:rsidRPr="007B7CCE">
        <w:rPr>
          <w:sz w:val="24"/>
          <w:szCs w:val="24"/>
        </w:rPr>
        <w:t>(</w:t>
      </w:r>
      <w:r w:rsidR="00EB6C3E" w:rsidRPr="007B7CCE">
        <w:rPr>
          <w:sz w:val="24"/>
          <w:szCs w:val="24"/>
        </w:rPr>
        <w:t>Brisbane</w:t>
      </w:r>
      <w:r w:rsidR="00873D8D" w:rsidRPr="007B7CCE">
        <w:rPr>
          <w:sz w:val="24"/>
          <w:szCs w:val="24"/>
        </w:rPr>
        <w:t>)</w:t>
      </w:r>
      <w:r w:rsidRPr="007B7CCE">
        <w:rPr>
          <w:sz w:val="24"/>
          <w:szCs w:val="24"/>
        </w:rPr>
        <w:t xml:space="preserve"> </w:t>
      </w:r>
      <w:r w:rsidR="0014668B" w:rsidRPr="007B7CCE">
        <w:rPr>
          <w:sz w:val="24"/>
          <w:szCs w:val="24"/>
        </w:rPr>
        <w:t xml:space="preserve">on </w:t>
      </w:r>
      <w:r w:rsidR="009D197B" w:rsidRPr="007B7CCE">
        <w:rPr>
          <w:sz w:val="24"/>
          <w:szCs w:val="24"/>
        </w:rPr>
        <w:t xml:space="preserve">the lands of the </w:t>
      </w:r>
      <w:proofErr w:type="spellStart"/>
      <w:r w:rsidR="00EB6C3E" w:rsidRPr="007B7CCE">
        <w:rPr>
          <w:sz w:val="24"/>
          <w:szCs w:val="24"/>
        </w:rPr>
        <w:t>Jagera</w:t>
      </w:r>
      <w:proofErr w:type="spellEnd"/>
      <w:r w:rsidR="00EB6C3E" w:rsidRPr="007B7CCE">
        <w:rPr>
          <w:sz w:val="24"/>
          <w:szCs w:val="24"/>
        </w:rPr>
        <w:t xml:space="preserve"> and the </w:t>
      </w:r>
      <w:proofErr w:type="spellStart"/>
      <w:r w:rsidR="00EB6C3E" w:rsidRPr="007B7CCE">
        <w:rPr>
          <w:sz w:val="24"/>
          <w:szCs w:val="24"/>
        </w:rPr>
        <w:t>Turrbal</w:t>
      </w:r>
      <w:proofErr w:type="spellEnd"/>
      <w:r w:rsidR="00EB6C3E" w:rsidRPr="007B7CCE">
        <w:rPr>
          <w:sz w:val="24"/>
          <w:szCs w:val="24"/>
        </w:rPr>
        <w:t xml:space="preserve"> peoples.</w:t>
      </w:r>
    </w:p>
    <w:p w14:paraId="3AF1A536" w14:textId="77777777" w:rsidR="008644E0" w:rsidRDefault="0083028C" w:rsidP="00795D6C">
      <w:pPr>
        <w:spacing w:before="120" w:after="120" w:line="240" w:lineRule="auto"/>
        <w:jc w:val="both"/>
        <w:rPr>
          <w:sz w:val="24"/>
          <w:szCs w:val="24"/>
        </w:rPr>
      </w:pPr>
      <w:r w:rsidRPr="007B7CCE">
        <w:rPr>
          <w:sz w:val="24"/>
          <w:szCs w:val="24"/>
        </w:rPr>
        <w:t xml:space="preserve">Attendees included </w:t>
      </w:r>
      <w:r w:rsidR="009D197B" w:rsidRPr="007B7CCE">
        <w:rPr>
          <w:sz w:val="24"/>
          <w:szCs w:val="24"/>
        </w:rPr>
        <w:t>m</w:t>
      </w:r>
      <w:r w:rsidR="00A82757" w:rsidRPr="007B7CCE">
        <w:rPr>
          <w:sz w:val="24"/>
          <w:szCs w:val="24"/>
        </w:rPr>
        <w:t>embers of the Advisory Group and Digital Inclusion Expert Panel</w:t>
      </w:r>
      <w:r w:rsidR="0014668B" w:rsidRPr="007B7CCE">
        <w:rPr>
          <w:sz w:val="24"/>
          <w:szCs w:val="24"/>
        </w:rPr>
        <w:t>,</w:t>
      </w:r>
      <w:r w:rsidR="001E30FB" w:rsidRPr="007B7CCE">
        <w:rPr>
          <w:sz w:val="24"/>
          <w:szCs w:val="24"/>
        </w:rPr>
        <w:t xml:space="preserve"> </w:t>
      </w:r>
      <w:r w:rsidR="009D197B" w:rsidRPr="007B7CCE">
        <w:rPr>
          <w:sz w:val="24"/>
          <w:szCs w:val="24"/>
        </w:rPr>
        <w:t>as well as representatives</w:t>
      </w:r>
      <w:r w:rsidR="001E30FB" w:rsidRPr="007B7CCE">
        <w:rPr>
          <w:sz w:val="24"/>
          <w:szCs w:val="24"/>
        </w:rPr>
        <w:t xml:space="preserve"> from the Department of Infrastructure, Transport, Regional Development, Communications, Sport and the Arts (</w:t>
      </w:r>
      <w:r w:rsidR="009D197B" w:rsidRPr="007B7CCE">
        <w:rPr>
          <w:sz w:val="24"/>
          <w:szCs w:val="24"/>
        </w:rPr>
        <w:t>the department</w:t>
      </w:r>
      <w:r w:rsidR="001E30FB" w:rsidRPr="007B7CCE">
        <w:rPr>
          <w:sz w:val="24"/>
          <w:szCs w:val="24"/>
        </w:rPr>
        <w:t>).</w:t>
      </w:r>
      <w:r w:rsidR="0014668B" w:rsidRPr="007B7CCE">
        <w:rPr>
          <w:sz w:val="24"/>
          <w:szCs w:val="24"/>
        </w:rPr>
        <w:t xml:space="preserve"> </w:t>
      </w:r>
    </w:p>
    <w:p w14:paraId="206BEAB4" w14:textId="79D4B4D1" w:rsidR="004161B0" w:rsidRPr="00465B92" w:rsidRDefault="001E30FB" w:rsidP="00795D6C">
      <w:pPr>
        <w:spacing w:before="120" w:after="120" w:line="240" w:lineRule="auto"/>
        <w:jc w:val="both"/>
        <w:rPr>
          <w:sz w:val="24"/>
          <w:szCs w:val="24"/>
        </w:rPr>
      </w:pPr>
      <w:r w:rsidRPr="007B7CCE">
        <w:rPr>
          <w:sz w:val="24"/>
          <w:szCs w:val="24"/>
        </w:rPr>
        <w:t xml:space="preserve">The </w:t>
      </w:r>
      <w:r w:rsidR="007D757A" w:rsidRPr="007B7CCE">
        <w:rPr>
          <w:sz w:val="24"/>
          <w:szCs w:val="24"/>
        </w:rPr>
        <w:t>Advisory Group heard from a number of</w:t>
      </w:r>
      <w:r w:rsidR="0014668B" w:rsidRPr="007B7CCE">
        <w:rPr>
          <w:sz w:val="24"/>
          <w:szCs w:val="24"/>
        </w:rPr>
        <w:t xml:space="preserve"> </w:t>
      </w:r>
      <w:r w:rsidR="00873D8D" w:rsidRPr="007B7CCE">
        <w:rPr>
          <w:sz w:val="24"/>
          <w:szCs w:val="24"/>
        </w:rPr>
        <w:t>presenters</w:t>
      </w:r>
      <w:r w:rsidR="007D757A" w:rsidRPr="007B7CCE">
        <w:rPr>
          <w:sz w:val="24"/>
          <w:szCs w:val="24"/>
        </w:rPr>
        <w:t>, including</w:t>
      </w:r>
      <w:r w:rsidR="00873D8D" w:rsidRPr="007B7CCE">
        <w:rPr>
          <w:sz w:val="24"/>
          <w:szCs w:val="24"/>
        </w:rPr>
        <w:t xml:space="preserve"> the </w:t>
      </w:r>
      <w:bookmarkStart w:id="1" w:name="_Hlk210723361"/>
      <w:r w:rsidR="00EB6C3E" w:rsidRPr="008644E0">
        <w:rPr>
          <w:sz w:val="24"/>
          <w:szCs w:val="24"/>
        </w:rPr>
        <w:t>Department of Finance and the WA Office of Digital Government</w:t>
      </w:r>
      <w:bookmarkEnd w:id="1"/>
      <w:r w:rsidR="00EB6C3E" w:rsidRPr="008644E0">
        <w:rPr>
          <w:sz w:val="24"/>
          <w:szCs w:val="24"/>
        </w:rPr>
        <w:t xml:space="preserve">, </w:t>
      </w:r>
      <w:r w:rsidR="00873D8D" w:rsidRPr="007B7CCE">
        <w:rPr>
          <w:sz w:val="24"/>
          <w:szCs w:val="24"/>
        </w:rPr>
        <w:t>the National Indigenous Australians Agency (</w:t>
      </w:r>
      <w:proofErr w:type="spellStart"/>
      <w:r w:rsidR="00873D8D" w:rsidRPr="007B7CCE">
        <w:rPr>
          <w:sz w:val="24"/>
          <w:szCs w:val="24"/>
        </w:rPr>
        <w:t>NIAA</w:t>
      </w:r>
      <w:proofErr w:type="spellEnd"/>
      <w:r w:rsidR="00873D8D" w:rsidRPr="007B7CCE">
        <w:rPr>
          <w:sz w:val="24"/>
          <w:szCs w:val="24"/>
        </w:rPr>
        <w:t xml:space="preserve">), and </w:t>
      </w:r>
      <w:r w:rsidR="00EB6C3E" w:rsidRPr="007B7CCE">
        <w:rPr>
          <w:sz w:val="24"/>
          <w:szCs w:val="24"/>
        </w:rPr>
        <w:t>Optus</w:t>
      </w:r>
      <w:r w:rsidR="00A82757" w:rsidRPr="007B7CCE">
        <w:rPr>
          <w:sz w:val="24"/>
          <w:szCs w:val="24"/>
        </w:rPr>
        <w:t>.</w:t>
      </w:r>
    </w:p>
    <w:p w14:paraId="2DDE33D4" w14:textId="3E8B5B6B" w:rsidR="0083028C" w:rsidRPr="007B7CCE" w:rsidRDefault="0014668B" w:rsidP="00F20211">
      <w:pPr>
        <w:pStyle w:val="Heading2"/>
      </w:pPr>
      <w:r w:rsidRPr="007B7CCE">
        <w:t>Update</w:t>
      </w:r>
      <w:r w:rsidR="008644E0">
        <w:t xml:space="preserve"> on</w:t>
      </w:r>
      <w:r w:rsidR="00FC567F" w:rsidRPr="007B7CCE">
        <w:t xml:space="preserve"> Digital ID</w:t>
      </w:r>
      <w:r w:rsidRPr="007B7CCE">
        <w:t xml:space="preserve"> </w:t>
      </w:r>
    </w:p>
    <w:p w14:paraId="6BA4EAAF" w14:textId="109A95E3" w:rsidR="0077002E" w:rsidRDefault="008644E0" w:rsidP="00795D6C">
      <w:pPr>
        <w:spacing w:before="120" w:after="120" w:line="240" w:lineRule="auto"/>
        <w:jc w:val="both"/>
        <w:rPr>
          <w:sz w:val="24"/>
          <w:szCs w:val="24"/>
        </w:rPr>
      </w:pPr>
      <w:r>
        <w:rPr>
          <w:sz w:val="24"/>
          <w:szCs w:val="24"/>
        </w:rPr>
        <w:t>R</w:t>
      </w:r>
      <w:r w:rsidR="007D757A" w:rsidRPr="007B7CCE">
        <w:rPr>
          <w:sz w:val="24"/>
          <w:szCs w:val="24"/>
        </w:rPr>
        <w:t>epresentatives</w:t>
      </w:r>
      <w:r w:rsidR="0014668B" w:rsidRPr="007B7CCE">
        <w:rPr>
          <w:sz w:val="24"/>
          <w:szCs w:val="24"/>
        </w:rPr>
        <w:t xml:space="preserve"> from </w:t>
      </w:r>
      <w:r>
        <w:rPr>
          <w:sz w:val="24"/>
          <w:szCs w:val="24"/>
        </w:rPr>
        <w:t xml:space="preserve">the </w:t>
      </w:r>
      <w:r w:rsidR="00FC567F" w:rsidRPr="007B7CCE">
        <w:rPr>
          <w:sz w:val="24"/>
          <w:szCs w:val="24"/>
        </w:rPr>
        <w:t>Department of Finance and the WA Office of Digital Government</w:t>
      </w:r>
      <w:r>
        <w:rPr>
          <w:sz w:val="24"/>
          <w:szCs w:val="24"/>
        </w:rPr>
        <w:t xml:space="preserve"> </w:t>
      </w:r>
      <w:r w:rsidR="00FC567F" w:rsidRPr="007B7CCE">
        <w:rPr>
          <w:sz w:val="24"/>
          <w:szCs w:val="24"/>
        </w:rPr>
        <w:t>provided a progress update on</w:t>
      </w:r>
      <w:r w:rsidR="00465B92">
        <w:rPr>
          <w:sz w:val="24"/>
          <w:szCs w:val="24"/>
        </w:rPr>
        <w:t xml:space="preserve"> their trial to support people who do</w:t>
      </w:r>
      <w:r w:rsidR="00F52F1E">
        <w:rPr>
          <w:sz w:val="24"/>
          <w:szCs w:val="24"/>
        </w:rPr>
        <w:t xml:space="preserve"> not</w:t>
      </w:r>
      <w:r w:rsidR="00465B92">
        <w:rPr>
          <w:sz w:val="24"/>
          <w:szCs w:val="24"/>
        </w:rPr>
        <w:t xml:space="preserve"> have traditional ID documentation to access a Digital ID. </w:t>
      </w:r>
      <w:r w:rsidR="00FC567F" w:rsidRPr="007B7CCE">
        <w:rPr>
          <w:sz w:val="24"/>
          <w:szCs w:val="24"/>
        </w:rPr>
        <w:t xml:space="preserve"> </w:t>
      </w:r>
      <w:r w:rsidR="00465B92">
        <w:rPr>
          <w:sz w:val="24"/>
          <w:szCs w:val="24"/>
        </w:rPr>
        <w:t xml:space="preserve">They also invited the Advisory Group’s views on Digital ID Rules and Accreditation Rules. </w:t>
      </w:r>
    </w:p>
    <w:p w14:paraId="15932A2E" w14:textId="350FAE85" w:rsidR="004161B0" w:rsidRPr="00795D6C" w:rsidRDefault="00465B92" w:rsidP="00795D6C">
      <w:pPr>
        <w:spacing w:before="120" w:after="120" w:line="240" w:lineRule="auto"/>
        <w:jc w:val="both"/>
        <w:rPr>
          <w:sz w:val="24"/>
          <w:szCs w:val="24"/>
        </w:rPr>
      </w:pPr>
      <w:r>
        <w:rPr>
          <w:sz w:val="24"/>
          <w:szCs w:val="24"/>
        </w:rPr>
        <w:t xml:space="preserve">The Advisory Group noted that lack of traditional ID documents continues to be a barrier to Digital ID take up by First Nations Australians, and indicated this could have a negative impact on digital inclusion in the future. The Advisory Group emphasised the importance of ensuring next steps explicitly consider the needs of communities both with and without connectivity. </w:t>
      </w:r>
    </w:p>
    <w:p w14:paraId="3D0F1E9A" w14:textId="5DA9EC06" w:rsidR="0083028C" w:rsidRPr="007B7CCE" w:rsidRDefault="00613930" w:rsidP="00F20211">
      <w:pPr>
        <w:pStyle w:val="Heading2"/>
      </w:pPr>
      <w:r w:rsidRPr="007B7CCE">
        <w:t xml:space="preserve">Update from </w:t>
      </w:r>
      <w:r w:rsidR="00465B92">
        <w:t>the Australian Government</w:t>
      </w:r>
    </w:p>
    <w:p w14:paraId="45AD373F" w14:textId="42C82F6F" w:rsidR="0083028C" w:rsidRDefault="00C72E01" w:rsidP="00795D6C">
      <w:pPr>
        <w:spacing w:before="120" w:after="120" w:line="240" w:lineRule="auto"/>
        <w:jc w:val="both"/>
        <w:rPr>
          <w:sz w:val="24"/>
          <w:szCs w:val="24"/>
        </w:rPr>
      </w:pPr>
      <w:r w:rsidRPr="007B7CCE">
        <w:rPr>
          <w:sz w:val="24"/>
          <w:szCs w:val="24"/>
        </w:rPr>
        <w:t>T</w:t>
      </w:r>
      <w:r w:rsidR="0083028C" w:rsidRPr="007B7CCE">
        <w:rPr>
          <w:sz w:val="24"/>
          <w:szCs w:val="24"/>
        </w:rPr>
        <w:t>he</w:t>
      </w:r>
      <w:r w:rsidR="00465B92">
        <w:rPr>
          <w:sz w:val="24"/>
          <w:szCs w:val="24"/>
        </w:rPr>
        <w:t xml:space="preserve"> department provided an update </w:t>
      </w:r>
      <w:r w:rsidR="0093143B" w:rsidRPr="007B7CCE">
        <w:rPr>
          <w:sz w:val="24"/>
          <w:szCs w:val="24"/>
        </w:rPr>
        <w:t xml:space="preserve">on a range of </w:t>
      </w:r>
      <w:r w:rsidR="00F778F1" w:rsidRPr="007B7CCE">
        <w:rPr>
          <w:sz w:val="24"/>
          <w:szCs w:val="24"/>
        </w:rPr>
        <w:t xml:space="preserve">work underway </w:t>
      </w:r>
      <w:r w:rsidR="00465B92">
        <w:rPr>
          <w:sz w:val="24"/>
          <w:szCs w:val="24"/>
        </w:rPr>
        <w:t xml:space="preserve">to support </w:t>
      </w:r>
      <w:r w:rsidR="00F778F1" w:rsidRPr="007B7CCE">
        <w:rPr>
          <w:sz w:val="24"/>
          <w:szCs w:val="24"/>
        </w:rPr>
        <w:t xml:space="preserve">First Nations digital inclusion, </w:t>
      </w:r>
      <w:r w:rsidR="00465B92">
        <w:rPr>
          <w:sz w:val="24"/>
          <w:szCs w:val="24"/>
        </w:rPr>
        <w:t xml:space="preserve">as well as broader priorities in the communications portfolio, including the </w:t>
      </w:r>
      <w:r w:rsidR="007B7CCE">
        <w:rPr>
          <w:sz w:val="24"/>
          <w:szCs w:val="24"/>
        </w:rPr>
        <w:t>Universal Outdoor Mobile Obligation (</w:t>
      </w:r>
      <w:proofErr w:type="spellStart"/>
      <w:r w:rsidR="007B7CCE">
        <w:rPr>
          <w:sz w:val="24"/>
          <w:szCs w:val="24"/>
        </w:rPr>
        <w:t>UOMO</w:t>
      </w:r>
      <w:proofErr w:type="spellEnd"/>
      <w:r w:rsidR="007B7CCE">
        <w:rPr>
          <w:sz w:val="24"/>
          <w:szCs w:val="24"/>
        </w:rPr>
        <w:t xml:space="preserve">) and the Government’s response to </w:t>
      </w:r>
      <w:r w:rsidR="007B7CCE" w:rsidRPr="007B7CCE">
        <w:rPr>
          <w:sz w:val="24"/>
          <w:szCs w:val="24"/>
        </w:rPr>
        <w:t>the 2024 Regional Telecommunication Review</w:t>
      </w:r>
      <w:r w:rsidR="00FF7F72">
        <w:rPr>
          <w:sz w:val="24"/>
          <w:szCs w:val="24"/>
        </w:rPr>
        <w:t>.</w:t>
      </w:r>
    </w:p>
    <w:p w14:paraId="43686540" w14:textId="078DAFB4" w:rsidR="004161B0" w:rsidRPr="00F20211" w:rsidRDefault="007D58D3" w:rsidP="00795D6C">
      <w:pPr>
        <w:spacing w:before="120" w:after="120" w:line="240" w:lineRule="auto"/>
        <w:jc w:val="both"/>
        <w:rPr>
          <w:sz w:val="24"/>
          <w:szCs w:val="24"/>
        </w:rPr>
      </w:pPr>
      <w:proofErr w:type="spellStart"/>
      <w:r>
        <w:rPr>
          <w:sz w:val="24"/>
          <w:szCs w:val="24"/>
        </w:rPr>
        <w:t>NIAA</w:t>
      </w:r>
      <w:proofErr w:type="spellEnd"/>
      <w:r>
        <w:rPr>
          <w:sz w:val="24"/>
          <w:szCs w:val="24"/>
        </w:rPr>
        <w:t xml:space="preserve"> </w:t>
      </w:r>
      <w:r w:rsidR="00F20211">
        <w:rPr>
          <w:sz w:val="24"/>
          <w:szCs w:val="24"/>
        </w:rPr>
        <w:t>provided an update on the Indigenous Broadcasting and Media Program, as well as broader matters relating to First Nations media. T</w:t>
      </w:r>
      <w:r w:rsidR="00DB6DAC" w:rsidRPr="007B7CCE">
        <w:rPr>
          <w:sz w:val="24"/>
          <w:szCs w:val="24"/>
        </w:rPr>
        <w:t>he Advisory Group</w:t>
      </w:r>
      <w:r w:rsidR="001632B3" w:rsidRPr="007B7CCE">
        <w:rPr>
          <w:sz w:val="24"/>
          <w:szCs w:val="24"/>
        </w:rPr>
        <w:t xml:space="preserve"> welcomed the Government’s $12 million investment in the </w:t>
      </w:r>
      <w:proofErr w:type="spellStart"/>
      <w:r w:rsidR="001632B3" w:rsidRPr="007B7CCE">
        <w:rPr>
          <w:sz w:val="24"/>
          <w:szCs w:val="24"/>
        </w:rPr>
        <w:t>IBMP</w:t>
      </w:r>
      <w:proofErr w:type="spellEnd"/>
      <w:r w:rsidR="001632B3" w:rsidRPr="007B7CCE">
        <w:rPr>
          <w:sz w:val="24"/>
          <w:szCs w:val="24"/>
        </w:rPr>
        <w:t>, however, noted that there is a strong need for an increase in ongoing funding to ensure sector sustainability in the longer term.</w:t>
      </w:r>
    </w:p>
    <w:p w14:paraId="4DFDE47E" w14:textId="3C0C6AC2" w:rsidR="00AB063D" w:rsidRPr="00F20211" w:rsidRDefault="00AB063D" w:rsidP="00F20211">
      <w:pPr>
        <w:pStyle w:val="Heading2"/>
      </w:pPr>
      <w:r w:rsidRPr="00F20211">
        <w:lastRenderedPageBreak/>
        <w:t xml:space="preserve">Update from </w:t>
      </w:r>
      <w:r w:rsidR="00DB6DAC" w:rsidRPr="00F20211">
        <w:t>Optus</w:t>
      </w:r>
    </w:p>
    <w:p w14:paraId="1A30C7F3" w14:textId="040A0D4C" w:rsidR="00795D6C" w:rsidRDefault="00795D6C" w:rsidP="00795D6C">
      <w:pPr>
        <w:spacing w:before="120" w:after="120" w:line="240" w:lineRule="auto"/>
        <w:jc w:val="both"/>
        <w:rPr>
          <w:sz w:val="24"/>
          <w:szCs w:val="24"/>
        </w:rPr>
      </w:pPr>
      <w:r>
        <w:rPr>
          <w:sz w:val="24"/>
          <w:szCs w:val="24"/>
        </w:rPr>
        <w:t>A senior representative from</w:t>
      </w:r>
      <w:r w:rsidR="001632B3" w:rsidRPr="007B7CCE">
        <w:rPr>
          <w:sz w:val="24"/>
          <w:szCs w:val="24"/>
        </w:rPr>
        <w:t xml:space="preserve"> Optus</w:t>
      </w:r>
      <w:r w:rsidR="00F20211">
        <w:rPr>
          <w:sz w:val="24"/>
          <w:szCs w:val="24"/>
        </w:rPr>
        <w:t xml:space="preserve"> provided an update on current events, including the outage on 18 September which impacted on Triple Zero calls in some states and territories, and the Federal Court decision on Optus’ unconscionable conduct. </w:t>
      </w:r>
      <w:r w:rsidR="001632B3" w:rsidRPr="007B7CCE">
        <w:rPr>
          <w:sz w:val="24"/>
          <w:szCs w:val="24"/>
        </w:rPr>
        <w:t xml:space="preserve"> </w:t>
      </w:r>
    </w:p>
    <w:p w14:paraId="1E4444B4" w14:textId="40C6379F" w:rsidR="004161B0" w:rsidRPr="00F20211" w:rsidRDefault="00795D6C" w:rsidP="00795D6C">
      <w:pPr>
        <w:spacing w:before="120" w:after="120" w:line="240" w:lineRule="auto"/>
        <w:jc w:val="both"/>
        <w:rPr>
          <w:sz w:val="24"/>
          <w:szCs w:val="24"/>
        </w:rPr>
      </w:pPr>
      <w:r>
        <w:rPr>
          <w:sz w:val="24"/>
          <w:szCs w:val="24"/>
        </w:rPr>
        <w:t>They</w:t>
      </w:r>
      <w:r w:rsidR="00F20211">
        <w:rPr>
          <w:sz w:val="24"/>
          <w:szCs w:val="24"/>
        </w:rPr>
        <w:t xml:space="preserve"> outlined the work underway within Optus to address the conduct, as well as the different elements of the enforceable undertaking with the Australian Competition and Consumer Commission</w:t>
      </w:r>
      <w:r>
        <w:rPr>
          <w:sz w:val="24"/>
          <w:szCs w:val="24"/>
        </w:rPr>
        <w:t xml:space="preserve"> (</w:t>
      </w:r>
      <w:proofErr w:type="spellStart"/>
      <w:r>
        <w:rPr>
          <w:sz w:val="24"/>
          <w:szCs w:val="24"/>
        </w:rPr>
        <w:t>ACCC</w:t>
      </w:r>
      <w:proofErr w:type="spellEnd"/>
      <w:r>
        <w:rPr>
          <w:sz w:val="24"/>
          <w:szCs w:val="24"/>
        </w:rPr>
        <w:t>)</w:t>
      </w:r>
      <w:r w:rsidR="00F20211">
        <w:rPr>
          <w:sz w:val="24"/>
          <w:szCs w:val="24"/>
        </w:rPr>
        <w:t xml:space="preserve">. </w:t>
      </w:r>
      <w:r>
        <w:rPr>
          <w:sz w:val="24"/>
          <w:szCs w:val="24"/>
        </w:rPr>
        <w:t>They also</w:t>
      </w:r>
      <w:r w:rsidR="00F20211">
        <w:rPr>
          <w:sz w:val="24"/>
          <w:szCs w:val="24"/>
        </w:rPr>
        <w:t xml:space="preserve"> thanked </w:t>
      </w:r>
      <w:r w:rsidR="00397DAD">
        <w:rPr>
          <w:sz w:val="24"/>
          <w:szCs w:val="24"/>
        </w:rPr>
        <w:t>the</w:t>
      </w:r>
      <w:r w:rsidR="00F20211">
        <w:rPr>
          <w:sz w:val="24"/>
          <w:szCs w:val="24"/>
        </w:rPr>
        <w:t xml:space="preserve"> Advisory Group for its feedback to date, and indicated </w:t>
      </w:r>
      <w:r w:rsidR="00C24D57">
        <w:rPr>
          <w:sz w:val="24"/>
          <w:szCs w:val="24"/>
        </w:rPr>
        <w:t>Optus</w:t>
      </w:r>
      <w:r w:rsidR="00F20211">
        <w:rPr>
          <w:sz w:val="24"/>
          <w:szCs w:val="24"/>
        </w:rPr>
        <w:t xml:space="preserve"> would welcome further engagement with them in the future</w:t>
      </w:r>
      <w:r w:rsidR="00C24D57">
        <w:rPr>
          <w:sz w:val="24"/>
          <w:szCs w:val="24"/>
        </w:rPr>
        <w:t xml:space="preserve"> as it seeks to rebuild trust and confidence with consumers and the Australian public</w:t>
      </w:r>
      <w:r w:rsidR="00F20211">
        <w:rPr>
          <w:sz w:val="24"/>
          <w:szCs w:val="24"/>
        </w:rPr>
        <w:t xml:space="preserve">. </w:t>
      </w:r>
    </w:p>
    <w:p w14:paraId="552D7D88" w14:textId="651EF891" w:rsidR="0077002E" w:rsidRPr="007B7CCE" w:rsidRDefault="00795D6C" w:rsidP="00F20211">
      <w:pPr>
        <w:pStyle w:val="Heading2"/>
      </w:pPr>
      <w:r>
        <w:t>Establishment of t</w:t>
      </w:r>
      <w:r w:rsidR="001632B3" w:rsidRPr="007B7CCE">
        <w:t xml:space="preserve">he First Nations </w:t>
      </w:r>
      <w:r w:rsidR="0077002E" w:rsidRPr="007B7CCE">
        <w:t>Telecommunications Work</w:t>
      </w:r>
      <w:r w:rsidR="001A7F3E" w:rsidRPr="007B7CCE">
        <w:t>ing Group</w:t>
      </w:r>
      <w:r w:rsidR="004E6734" w:rsidRPr="007B7CCE">
        <w:t xml:space="preserve"> (</w:t>
      </w:r>
      <w:proofErr w:type="spellStart"/>
      <w:r w:rsidR="004E6734" w:rsidRPr="007B7CCE">
        <w:t>FNTWG</w:t>
      </w:r>
      <w:proofErr w:type="spellEnd"/>
      <w:r w:rsidR="004E6734" w:rsidRPr="007B7CCE">
        <w:t>)</w:t>
      </w:r>
    </w:p>
    <w:p w14:paraId="115151A3" w14:textId="1BD0B98E" w:rsidR="00795D6C" w:rsidRDefault="001632B3" w:rsidP="00795D6C">
      <w:pPr>
        <w:spacing w:before="120" w:after="120" w:line="240" w:lineRule="auto"/>
        <w:jc w:val="both"/>
        <w:rPr>
          <w:sz w:val="24"/>
          <w:szCs w:val="24"/>
        </w:rPr>
      </w:pPr>
      <w:r w:rsidRPr="007B7CCE">
        <w:rPr>
          <w:sz w:val="24"/>
          <w:szCs w:val="24"/>
        </w:rPr>
        <w:t>The A</w:t>
      </w:r>
      <w:r w:rsidR="0077002E" w:rsidRPr="007B7CCE">
        <w:rPr>
          <w:sz w:val="24"/>
          <w:szCs w:val="24"/>
        </w:rPr>
        <w:t xml:space="preserve">dvisory </w:t>
      </w:r>
      <w:r w:rsidRPr="007B7CCE">
        <w:rPr>
          <w:sz w:val="24"/>
          <w:szCs w:val="24"/>
        </w:rPr>
        <w:t>G</w:t>
      </w:r>
      <w:r w:rsidR="0077002E" w:rsidRPr="007B7CCE">
        <w:rPr>
          <w:sz w:val="24"/>
          <w:szCs w:val="24"/>
        </w:rPr>
        <w:t>roup</w:t>
      </w:r>
      <w:r w:rsidR="00795D6C">
        <w:rPr>
          <w:sz w:val="24"/>
          <w:szCs w:val="24"/>
        </w:rPr>
        <w:t xml:space="preserve"> has established a First Nations Telecommunications Working Group</w:t>
      </w:r>
      <w:r w:rsidR="00F52F1E">
        <w:rPr>
          <w:sz w:val="24"/>
          <w:szCs w:val="24"/>
        </w:rPr>
        <w:t xml:space="preserve"> (Working Group)</w:t>
      </w:r>
      <w:r w:rsidR="00795D6C">
        <w:rPr>
          <w:sz w:val="24"/>
          <w:szCs w:val="24"/>
        </w:rPr>
        <w:t>, which will be co-chaired by senior executive</w:t>
      </w:r>
      <w:r w:rsidR="00337297">
        <w:rPr>
          <w:sz w:val="24"/>
          <w:szCs w:val="24"/>
        </w:rPr>
        <w:t>s</w:t>
      </w:r>
      <w:r w:rsidR="00795D6C">
        <w:rPr>
          <w:sz w:val="24"/>
          <w:szCs w:val="24"/>
        </w:rPr>
        <w:t xml:space="preserve"> from Telstra and </w:t>
      </w:r>
      <w:proofErr w:type="spellStart"/>
      <w:r w:rsidR="00795D6C">
        <w:rPr>
          <w:sz w:val="24"/>
          <w:szCs w:val="24"/>
        </w:rPr>
        <w:t>NBN</w:t>
      </w:r>
      <w:proofErr w:type="spellEnd"/>
      <w:r w:rsidR="00795D6C">
        <w:rPr>
          <w:sz w:val="24"/>
          <w:szCs w:val="24"/>
        </w:rPr>
        <w:t xml:space="preserve"> Co. Its </w:t>
      </w:r>
      <w:r w:rsidR="00F45D42">
        <w:rPr>
          <w:sz w:val="24"/>
          <w:szCs w:val="24"/>
        </w:rPr>
        <w:t xml:space="preserve">current </w:t>
      </w:r>
      <w:r w:rsidR="00795D6C">
        <w:rPr>
          <w:sz w:val="24"/>
          <w:szCs w:val="24"/>
        </w:rPr>
        <w:t>membership</w:t>
      </w:r>
      <w:r w:rsidR="0077002E" w:rsidRPr="007B7CCE">
        <w:rPr>
          <w:sz w:val="24"/>
          <w:szCs w:val="24"/>
        </w:rPr>
        <w:t xml:space="preserve"> </w:t>
      </w:r>
      <w:r w:rsidR="00795D6C">
        <w:rPr>
          <w:sz w:val="24"/>
          <w:szCs w:val="24"/>
        </w:rPr>
        <w:t xml:space="preserve">includes Optus, BAI, </w:t>
      </w:r>
      <w:proofErr w:type="spellStart"/>
      <w:r w:rsidR="00795D6C">
        <w:rPr>
          <w:sz w:val="24"/>
          <w:szCs w:val="24"/>
        </w:rPr>
        <w:t>TPG</w:t>
      </w:r>
      <w:proofErr w:type="spellEnd"/>
      <w:r w:rsidR="00795D6C">
        <w:rPr>
          <w:sz w:val="24"/>
          <w:szCs w:val="24"/>
        </w:rPr>
        <w:t xml:space="preserve"> and </w:t>
      </w:r>
      <w:proofErr w:type="spellStart"/>
      <w:r w:rsidR="00795D6C">
        <w:rPr>
          <w:sz w:val="24"/>
          <w:szCs w:val="24"/>
        </w:rPr>
        <w:t>Vocus</w:t>
      </w:r>
      <w:proofErr w:type="spellEnd"/>
      <w:r w:rsidR="00795D6C">
        <w:rPr>
          <w:sz w:val="24"/>
          <w:szCs w:val="24"/>
        </w:rPr>
        <w:t xml:space="preserve">, as well as the </w:t>
      </w:r>
      <w:proofErr w:type="spellStart"/>
      <w:r w:rsidR="00795D6C">
        <w:rPr>
          <w:sz w:val="24"/>
          <w:szCs w:val="24"/>
        </w:rPr>
        <w:t>ACCC</w:t>
      </w:r>
      <w:proofErr w:type="spellEnd"/>
      <w:r w:rsidR="00795D6C">
        <w:rPr>
          <w:sz w:val="24"/>
          <w:szCs w:val="24"/>
        </w:rPr>
        <w:t xml:space="preserve"> and the Australian Communications and Media Authority (</w:t>
      </w:r>
      <w:proofErr w:type="spellStart"/>
      <w:r w:rsidR="00795D6C">
        <w:rPr>
          <w:sz w:val="24"/>
          <w:szCs w:val="24"/>
        </w:rPr>
        <w:t>ACMA</w:t>
      </w:r>
      <w:proofErr w:type="spellEnd"/>
      <w:r w:rsidR="00795D6C">
        <w:rPr>
          <w:sz w:val="24"/>
          <w:szCs w:val="24"/>
        </w:rPr>
        <w:t xml:space="preserve">). </w:t>
      </w:r>
    </w:p>
    <w:p w14:paraId="61FDF50D" w14:textId="7843D8C6" w:rsidR="0083028C" w:rsidRDefault="00795D6C" w:rsidP="00795D6C">
      <w:pPr>
        <w:spacing w:before="120" w:after="120" w:line="240" w:lineRule="auto"/>
        <w:jc w:val="both"/>
        <w:rPr>
          <w:sz w:val="24"/>
          <w:szCs w:val="24"/>
        </w:rPr>
      </w:pPr>
      <w:r>
        <w:rPr>
          <w:sz w:val="24"/>
          <w:szCs w:val="24"/>
        </w:rPr>
        <w:t>The purpose of the Working Group is</w:t>
      </w:r>
      <w:r w:rsidR="004E6734" w:rsidRPr="00795D6C">
        <w:rPr>
          <w:sz w:val="24"/>
          <w:szCs w:val="24"/>
        </w:rPr>
        <w:t xml:space="preserve"> to support industry collaboration and accountability for industry-specific recommendations in the</w:t>
      </w:r>
      <w:r w:rsidR="0056511E">
        <w:rPr>
          <w:sz w:val="24"/>
          <w:szCs w:val="24"/>
        </w:rPr>
        <w:t xml:space="preserve"> First Nations Digital Inclusion Roadmap (</w:t>
      </w:r>
      <w:r w:rsidR="004E6734" w:rsidRPr="00795D6C">
        <w:rPr>
          <w:sz w:val="24"/>
          <w:szCs w:val="24"/>
        </w:rPr>
        <w:t>Roadmap</w:t>
      </w:r>
      <w:r w:rsidR="0056511E">
        <w:rPr>
          <w:sz w:val="24"/>
          <w:szCs w:val="24"/>
        </w:rPr>
        <w:t>)</w:t>
      </w:r>
      <w:r w:rsidR="004E6734" w:rsidRPr="00795D6C">
        <w:rPr>
          <w:sz w:val="24"/>
          <w:szCs w:val="24"/>
        </w:rPr>
        <w:t xml:space="preserve">. </w:t>
      </w:r>
      <w:r>
        <w:rPr>
          <w:sz w:val="24"/>
          <w:szCs w:val="24"/>
        </w:rPr>
        <w:t>The chairs</w:t>
      </w:r>
      <w:r w:rsidR="001D4663">
        <w:rPr>
          <w:sz w:val="24"/>
          <w:szCs w:val="24"/>
        </w:rPr>
        <w:t xml:space="preserve"> of the Working Group</w:t>
      </w:r>
      <w:r>
        <w:rPr>
          <w:sz w:val="24"/>
          <w:szCs w:val="24"/>
        </w:rPr>
        <w:t xml:space="preserve"> provided an update on outcomes from </w:t>
      </w:r>
      <w:r w:rsidR="001D4663">
        <w:rPr>
          <w:sz w:val="24"/>
          <w:szCs w:val="24"/>
        </w:rPr>
        <w:t>its</w:t>
      </w:r>
      <w:r>
        <w:rPr>
          <w:sz w:val="24"/>
          <w:szCs w:val="24"/>
        </w:rPr>
        <w:t xml:space="preserve"> first meeting, which was held on 26 September, and its forward workplan. </w:t>
      </w:r>
    </w:p>
    <w:p w14:paraId="45461BEC" w14:textId="645E3C19" w:rsidR="001D4663" w:rsidRPr="007B7CCE" w:rsidRDefault="001D4663" w:rsidP="001D4663">
      <w:pPr>
        <w:pStyle w:val="Heading2"/>
      </w:pPr>
      <w:r>
        <w:t>Engagement with states and territories</w:t>
      </w:r>
    </w:p>
    <w:p w14:paraId="4B7F0529" w14:textId="454C11F1" w:rsidR="001D4663" w:rsidRDefault="001D4663" w:rsidP="00795D6C">
      <w:pPr>
        <w:spacing w:before="120" w:after="120" w:line="240" w:lineRule="auto"/>
        <w:jc w:val="both"/>
        <w:rPr>
          <w:sz w:val="24"/>
          <w:szCs w:val="24"/>
        </w:rPr>
      </w:pPr>
      <w:r>
        <w:rPr>
          <w:sz w:val="24"/>
          <w:szCs w:val="24"/>
        </w:rPr>
        <w:t xml:space="preserve">The Advisory Group discussed its ongoing engagement with states and territories, including a workshop with jurisdictional representatives on 1 October 2025. The workshop focused on discussing how states and territories are delivering on the recommendations in the </w:t>
      </w:r>
      <w:r w:rsidR="00F52F1E">
        <w:rPr>
          <w:sz w:val="24"/>
          <w:szCs w:val="24"/>
        </w:rPr>
        <w:t>Roadmap</w:t>
      </w:r>
      <w:r>
        <w:rPr>
          <w:sz w:val="24"/>
          <w:szCs w:val="24"/>
        </w:rPr>
        <w:t xml:space="preserve">, as well as how to support stronger collaboration across government and with industry. </w:t>
      </w:r>
    </w:p>
    <w:p w14:paraId="2CCA7AF1" w14:textId="58F1A7B9" w:rsidR="001D4663" w:rsidRPr="0077002E" w:rsidRDefault="00DF3330" w:rsidP="00795D6C">
      <w:pPr>
        <w:spacing w:before="120" w:after="120" w:line="240" w:lineRule="auto"/>
        <w:jc w:val="both"/>
        <w:rPr>
          <w:sz w:val="24"/>
          <w:szCs w:val="24"/>
        </w:rPr>
      </w:pPr>
      <w:r>
        <w:rPr>
          <w:sz w:val="24"/>
          <w:szCs w:val="24"/>
        </w:rPr>
        <w:t>The Advisory Group noted strong support for the Roadmap</w:t>
      </w:r>
      <w:r w:rsidR="0056511E">
        <w:rPr>
          <w:sz w:val="24"/>
          <w:szCs w:val="24"/>
        </w:rPr>
        <w:t>’s</w:t>
      </w:r>
      <w:r>
        <w:rPr>
          <w:sz w:val="24"/>
          <w:szCs w:val="24"/>
        </w:rPr>
        <w:t xml:space="preserve"> </w:t>
      </w:r>
      <w:r w:rsidR="0023202B">
        <w:rPr>
          <w:sz w:val="24"/>
          <w:szCs w:val="24"/>
        </w:rPr>
        <w:t xml:space="preserve">recommendations </w:t>
      </w:r>
      <w:r>
        <w:rPr>
          <w:sz w:val="24"/>
          <w:szCs w:val="24"/>
        </w:rPr>
        <w:t>across government, including improving connectivity in remote communities, sharing and collecting data, and supporting digital literacy and online safety.</w:t>
      </w:r>
    </w:p>
    <w:sectPr w:rsidR="001D4663" w:rsidRPr="0077002E" w:rsidSect="001A1A38">
      <w:headerReference w:type="default" r:id="rId17"/>
      <w:type w:val="continuous"/>
      <w:pgSz w:w="11906" w:h="16838"/>
      <w:pgMar w:top="993" w:right="1440" w:bottom="1440" w:left="144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D9681" w14:textId="77777777" w:rsidR="002D1830" w:rsidRDefault="002D1830" w:rsidP="002D1830">
      <w:pPr>
        <w:spacing w:after="0" w:line="240" w:lineRule="auto"/>
      </w:pPr>
      <w:r>
        <w:separator/>
      </w:r>
    </w:p>
  </w:endnote>
  <w:endnote w:type="continuationSeparator" w:id="0">
    <w:p w14:paraId="70638ECE" w14:textId="77777777" w:rsidR="002D1830" w:rsidRDefault="002D1830" w:rsidP="002D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9364" w14:textId="77777777" w:rsidR="00061A6A" w:rsidRDefault="00061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A95F" w14:textId="77777777" w:rsidR="001A1A38" w:rsidRDefault="001A1A38" w:rsidP="001A1A38">
    <w:pPr>
      <w:pStyle w:val="Footer"/>
      <w:spacing w:after="120"/>
      <w:jc w:val="right"/>
    </w:pP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sdtContent>
    </w:sdt>
  </w:p>
  <w:p w14:paraId="43856CD1" w14:textId="77777777" w:rsidR="001A1A38" w:rsidRDefault="001A1A38" w:rsidP="001A1A38">
    <w:pPr>
      <w:pStyle w:val="Footer"/>
      <w:ind w:left="-1418"/>
    </w:pPr>
    <w:r>
      <w:rPr>
        <w:noProof/>
      </w:rPr>
      <w:drawing>
        <wp:inline distT="0" distB="0" distL="0" distR="0" wp14:anchorId="70AC5674" wp14:editId="0BA11D37">
          <wp:extent cx="7530465" cy="863534"/>
          <wp:effectExtent l="0" t="0" r="0" b="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944" cy="866112"/>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CFCD6" w14:textId="77777777" w:rsidR="001A1A38" w:rsidRDefault="001A1A38" w:rsidP="001A1A38">
    <w:pPr>
      <w:pStyle w:val="Footer"/>
      <w:spacing w:after="120"/>
      <w:jc w:val="right"/>
    </w:pPr>
    <w:sdt>
      <w:sdtPr>
        <w:id w:val="-814868042"/>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sdtContent>
    </w:sdt>
  </w:p>
  <w:p w14:paraId="5C6C82BE" w14:textId="77777777" w:rsidR="001A1A38" w:rsidRDefault="001A1A38" w:rsidP="001A1A38">
    <w:pPr>
      <w:pStyle w:val="Footer"/>
      <w:ind w:left="-1418"/>
    </w:pPr>
    <w:bookmarkStart w:id="0" w:name="_GoBack"/>
    <w:r>
      <w:rPr>
        <w:noProof/>
      </w:rPr>
      <w:drawing>
        <wp:inline distT="0" distB="0" distL="0" distR="0" wp14:anchorId="49E0AD88" wp14:editId="3EEA8F23">
          <wp:extent cx="7530465" cy="863534"/>
          <wp:effectExtent l="0" t="0" r="0" b="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944" cy="866112"/>
                  </a:xfrm>
                  <a:prstGeom prst="rect">
                    <a:avLst/>
                  </a:prstGeom>
                  <a:noFill/>
                </pic:spPr>
              </pic:pic>
            </a:graphicData>
          </a:graphic>
        </wp:inline>
      </w:drawing>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33377" w14:textId="77777777" w:rsidR="002D1830" w:rsidRDefault="002D1830" w:rsidP="002D1830">
      <w:pPr>
        <w:spacing w:after="0" w:line="240" w:lineRule="auto"/>
      </w:pPr>
      <w:r>
        <w:separator/>
      </w:r>
    </w:p>
  </w:footnote>
  <w:footnote w:type="continuationSeparator" w:id="0">
    <w:p w14:paraId="1A0A61FB" w14:textId="77777777" w:rsidR="002D1830" w:rsidRDefault="002D1830" w:rsidP="002D1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89B3" w14:textId="77777777" w:rsidR="00061A6A" w:rsidRDefault="00061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043A" w14:textId="77777777" w:rsidR="00061A6A" w:rsidRDefault="00061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5E362" w14:textId="77777777" w:rsidR="00061A6A" w:rsidRDefault="00061A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8AD31" w14:textId="2BF92F0E" w:rsidR="009477C7" w:rsidRPr="009477C7" w:rsidRDefault="009477C7" w:rsidP="009477C7">
    <w:pPr>
      <w:pStyle w:val="Header"/>
      <w:jc w:val="right"/>
    </w:pPr>
    <w:r>
      <w:rPr>
        <w:noProof/>
      </w:rPr>
      <w:drawing>
        <wp:inline distT="0" distB="0" distL="0" distR="0" wp14:anchorId="118F087A" wp14:editId="3744E260">
          <wp:extent cx="2532937" cy="1119701"/>
          <wp:effectExtent l="0" t="0" r="1270" b="4445"/>
          <wp:docPr id="14" name="Picture 14" descr="First Nations Digital Inclusion Advisor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53205" cy="11286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37F92"/>
    <w:multiLevelType w:val="hybridMultilevel"/>
    <w:tmpl w:val="48DA53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84472F0"/>
    <w:multiLevelType w:val="hybridMultilevel"/>
    <w:tmpl w:val="5156B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30"/>
    <w:rsid w:val="00061A6A"/>
    <w:rsid w:val="00113F9D"/>
    <w:rsid w:val="0014668B"/>
    <w:rsid w:val="001632B3"/>
    <w:rsid w:val="00183D4E"/>
    <w:rsid w:val="001A1A38"/>
    <w:rsid w:val="001A7F3E"/>
    <w:rsid w:val="001D4663"/>
    <w:rsid w:val="001E30FB"/>
    <w:rsid w:val="00205430"/>
    <w:rsid w:val="002247B8"/>
    <w:rsid w:val="0023150A"/>
    <w:rsid w:val="0023202B"/>
    <w:rsid w:val="00261D51"/>
    <w:rsid w:val="002A61B9"/>
    <w:rsid w:val="002D1830"/>
    <w:rsid w:val="002E550C"/>
    <w:rsid w:val="00337297"/>
    <w:rsid w:val="003526E8"/>
    <w:rsid w:val="00397DAD"/>
    <w:rsid w:val="003C53CF"/>
    <w:rsid w:val="003E4961"/>
    <w:rsid w:val="00403425"/>
    <w:rsid w:val="004161B0"/>
    <w:rsid w:val="004205C1"/>
    <w:rsid w:val="00465B92"/>
    <w:rsid w:val="00465EB8"/>
    <w:rsid w:val="004E6734"/>
    <w:rsid w:val="00500187"/>
    <w:rsid w:val="0056511E"/>
    <w:rsid w:val="005664B2"/>
    <w:rsid w:val="00613930"/>
    <w:rsid w:val="00641744"/>
    <w:rsid w:val="0077002E"/>
    <w:rsid w:val="00795D6C"/>
    <w:rsid w:val="007B7CCE"/>
    <w:rsid w:val="007D58D3"/>
    <w:rsid w:val="007D757A"/>
    <w:rsid w:val="007F660C"/>
    <w:rsid w:val="0082514F"/>
    <w:rsid w:val="0083028C"/>
    <w:rsid w:val="008644E0"/>
    <w:rsid w:val="00873D8D"/>
    <w:rsid w:val="00905075"/>
    <w:rsid w:val="0093143B"/>
    <w:rsid w:val="009477C7"/>
    <w:rsid w:val="009D197B"/>
    <w:rsid w:val="009D5B38"/>
    <w:rsid w:val="009F4850"/>
    <w:rsid w:val="00A12EED"/>
    <w:rsid w:val="00A167E7"/>
    <w:rsid w:val="00A82757"/>
    <w:rsid w:val="00AB063D"/>
    <w:rsid w:val="00B77ACB"/>
    <w:rsid w:val="00C24D57"/>
    <w:rsid w:val="00C72E01"/>
    <w:rsid w:val="00CD63AB"/>
    <w:rsid w:val="00D03A14"/>
    <w:rsid w:val="00D70D08"/>
    <w:rsid w:val="00DB6DAC"/>
    <w:rsid w:val="00DF3330"/>
    <w:rsid w:val="00EA46F1"/>
    <w:rsid w:val="00EA6668"/>
    <w:rsid w:val="00EA6CF8"/>
    <w:rsid w:val="00EB129C"/>
    <w:rsid w:val="00EB6C3E"/>
    <w:rsid w:val="00F20211"/>
    <w:rsid w:val="00F30302"/>
    <w:rsid w:val="00F45D42"/>
    <w:rsid w:val="00F52F1E"/>
    <w:rsid w:val="00F778F1"/>
    <w:rsid w:val="00FB3687"/>
    <w:rsid w:val="00FC567F"/>
    <w:rsid w:val="00FD5F31"/>
    <w:rsid w:val="00FE64F5"/>
    <w:rsid w:val="00FF7F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27FF597"/>
  <w15:chartTrackingRefBased/>
  <w15:docId w15:val="{121A34AB-8D0A-48CD-98C5-B04B8A2B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830"/>
    <w:pPr>
      <w:keepNext/>
      <w:keepLines/>
      <w:spacing w:before="240" w:after="0"/>
      <w:outlineLvl w:val="0"/>
    </w:pPr>
    <w:rPr>
      <w:rFonts w:asciiTheme="majorHAnsi" w:eastAsiaTheme="majorEastAsia" w:hAnsiTheme="majorHAnsi" w:cstheme="majorBidi"/>
      <w:b/>
      <w:color w:val="081E3F"/>
      <w:sz w:val="32"/>
      <w:szCs w:val="32"/>
    </w:rPr>
  </w:style>
  <w:style w:type="paragraph" w:styleId="Heading2">
    <w:name w:val="heading 2"/>
    <w:basedOn w:val="Normal"/>
    <w:next w:val="Normal"/>
    <w:link w:val="Heading2Char"/>
    <w:uiPriority w:val="9"/>
    <w:unhideWhenUsed/>
    <w:qFormat/>
    <w:rsid w:val="00F20211"/>
    <w:pPr>
      <w:keepNext/>
      <w:keepLines/>
      <w:spacing w:before="240" w:after="240" w:line="240" w:lineRule="auto"/>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7F66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830"/>
  </w:style>
  <w:style w:type="paragraph" w:styleId="Footer">
    <w:name w:val="footer"/>
    <w:basedOn w:val="Normal"/>
    <w:link w:val="FooterChar"/>
    <w:uiPriority w:val="99"/>
    <w:unhideWhenUsed/>
    <w:rsid w:val="002D1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830"/>
  </w:style>
  <w:style w:type="character" w:customStyle="1" w:styleId="Classification">
    <w:name w:val="Classification"/>
    <w:basedOn w:val="DefaultParagraphFont"/>
    <w:uiPriority w:val="1"/>
    <w:rsid w:val="002D1830"/>
    <w:rPr>
      <w:rFonts w:asciiTheme="minorHAnsi" w:hAnsiTheme="minorHAnsi"/>
      <w:b/>
      <w:color w:val="C00000"/>
      <w:sz w:val="22"/>
    </w:rPr>
  </w:style>
  <w:style w:type="character" w:customStyle="1" w:styleId="Heading1Char">
    <w:name w:val="Heading 1 Char"/>
    <w:basedOn w:val="DefaultParagraphFont"/>
    <w:link w:val="Heading1"/>
    <w:uiPriority w:val="9"/>
    <w:rsid w:val="002D1830"/>
    <w:rPr>
      <w:rFonts w:asciiTheme="majorHAnsi" w:eastAsiaTheme="majorEastAsia" w:hAnsiTheme="majorHAnsi" w:cstheme="majorBidi"/>
      <w:b/>
      <w:color w:val="081E3F"/>
      <w:sz w:val="32"/>
      <w:szCs w:val="32"/>
    </w:rPr>
  </w:style>
  <w:style w:type="character" w:customStyle="1" w:styleId="Heading2Char">
    <w:name w:val="Heading 2 Char"/>
    <w:basedOn w:val="DefaultParagraphFont"/>
    <w:link w:val="Heading2"/>
    <w:uiPriority w:val="9"/>
    <w:rsid w:val="00F20211"/>
    <w:rPr>
      <w:rFonts w:asciiTheme="majorHAnsi" w:eastAsiaTheme="majorEastAsia" w:hAnsiTheme="majorHAnsi" w:cstheme="majorBidi"/>
      <w:b/>
      <w:color w:val="2F5496" w:themeColor="accent1" w:themeShade="BF"/>
      <w:sz w:val="26"/>
      <w:szCs w:val="26"/>
    </w:rPr>
  </w:style>
  <w:style w:type="paragraph" w:styleId="Title">
    <w:name w:val="Title"/>
    <w:basedOn w:val="Normal"/>
    <w:next w:val="Normal"/>
    <w:link w:val="TitleChar"/>
    <w:uiPriority w:val="17"/>
    <w:qFormat/>
    <w:rsid w:val="009477C7"/>
    <w:pPr>
      <w:suppressAutoHyphens/>
      <w:spacing w:before="1680" w:after="240" w:line="240" w:lineRule="auto"/>
      <w:outlineLvl w:val="0"/>
    </w:pPr>
    <w:rPr>
      <w:rFonts w:asciiTheme="majorHAnsi" w:eastAsiaTheme="majorEastAsia" w:hAnsiTheme="majorHAnsi" w:cstheme="majorBidi"/>
      <w:b/>
      <w:color w:val="44546A" w:themeColor="text2"/>
      <w:sz w:val="60"/>
      <w:szCs w:val="56"/>
    </w:rPr>
  </w:style>
  <w:style w:type="character" w:customStyle="1" w:styleId="TitleChar">
    <w:name w:val="Title Char"/>
    <w:basedOn w:val="DefaultParagraphFont"/>
    <w:link w:val="Title"/>
    <w:uiPriority w:val="17"/>
    <w:rsid w:val="009477C7"/>
    <w:rPr>
      <w:rFonts w:asciiTheme="majorHAnsi" w:eastAsiaTheme="majorEastAsia" w:hAnsiTheme="majorHAnsi" w:cstheme="majorBidi"/>
      <w:b/>
      <w:color w:val="44546A" w:themeColor="text2"/>
      <w:sz w:val="60"/>
      <w:szCs w:val="56"/>
    </w:rPr>
  </w:style>
  <w:style w:type="character" w:styleId="PlaceholderText">
    <w:name w:val="Placeholder Text"/>
    <w:basedOn w:val="DefaultParagraphFont"/>
    <w:uiPriority w:val="99"/>
    <w:semiHidden/>
    <w:rsid w:val="0083028C"/>
    <w:rPr>
      <w:color w:val="808080"/>
    </w:rPr>
  </w:style>
  <w:style w:type="paragraph" w:styleId="ListParagraph">
    <w:name w:val="List Paragraph"/>
    <w:aliases w:val="Bullet Points,CV text,Dot pt,F5 List Paragraph,Indicator Text,L,List Paragraph Char Char Char,List Paragraph1,List Paragraph11,List Paragraph12,MAIN CONTENT,No Spacing1,Numbered Para 1,Recommendation,bullet point list,列出段"/>
    <w:basedOn w:val="Normal"/>
    <w:link w:val="ListParagraphChar"/>
    <w:uiPriority w:val="34"/>
    <w:unhideWhenUsed/>
    <w:qFormat/>
    <w:rsid w:val="0083028C"/>
    <w:pPr>
      <w:suppressAutoHyphens/>
      <w:spacing w:before="160" w:after="80" w:line="240" w:lineRule="auto"/>
      <w:ind w:left="720"/>
      <w:contextualSpacing/>
    </w:pPr>
    <w:rPr>
      <w:color w:val="000000" w:themeColor="text1"/>
    </w:rPr>
  </w:style>
  <w:style w:type="character" w:customStyle="1" w:styleId="ListParagraphChar">
    <w:name w:val="List Paragraph Char"/>
    <w:aliases w:val="Bullet Points Char,CV text Char,Dot pt Char,F5 List Paragraph Char,Indicator Text Char,L Char,List Paragraph Char Char Char Char,List Paragraph1 Char,List Paragraph11 Char,List Paragraph12 Char,MAIN CONTENT Char,No Spacing1 Char"/>
    <w:link w:val="ListParagraph"/>
    <w:uiPriority w:val="34"/>
    <w:qFormat/>
    <w:locked/>
    <w:rsid w:val="0083028C"/>
    <w:rPr>
      <w:color w:val="000000" w:themeColor="text1"/>
    </w:rPr>
  </w:style>
  <w:style w:type="character" w:styleId="CommentReference">
    <w:name w:val="annotation reference"/>
    <w:basedOn w:val="DefaultParagraphFont"/>
    <w:uiPriority w:val="99"/>
    <w:semiHidden/>
    <w:unhideWhenUsed/>
    <w:rsid w:val="00873D8D"/>
    <w:rPr>
      <w:sz w:val="16"/>
      <w:szCs w:val="16"/>
    </w:rPr>
  </w:style>
  <w:style w:type="paragraph" w:styleId="CommentText">
    <w:name w:val="annotation text"/>
    <w:basedOn w:val="Normal"/>
    <w:link w:val="CommentTextChar"/>
    <w:uiPriority w:val="99"/>
    <w:semiHidden/>
    <w:unhideWhenUsed/>
    <w:rsid w:val="00873D8D"/>
    <w:pPr>
      <w:spacing w:line="240" w:lineRule="auto"/>
    </w:pPr>
    <w:rPr>
      <w:sz w:val="20"/>
      <w:szCs w:val="20"/>
    </w:rPr>
  </w:style>
  <w:style w:type="character" w:customStyle="1" w:styleId="CommentTextChar">
    <w:name w:val="Comment Text Char"/>
    <w:basedOn w:val="DefaultParagraphFont"/>
    <w:link w:val="CommentText"/>
    <w:uiPriority w:val="99"/>
    <w:semiHidden/>
    <w:rsid w:val="00873D8D"/>
    <w:rPr>
      <w:sz w:val="20"/>
      <w:szCs w:val="20"/>
    </w:rPr>
  </w:style>
  <w:style w:type="paragraph" w:styleId="CommentSubject">
    <w:name w:val="annotation subject"/>
    <w:basedOn w:val="CommentText"/>
    <w:next w:val="CommentText"/>
    <w:link w:val="CommentSubjectChar"/>
    <w:uiPriority w:val="99"/>
    <w:semiHidden/>
    <w:unhideWhenUsed/>
    <w:rsid w:val="00873D8D"/>
    <w:rPr>
      <w:b/>
      <w:bCs/>
    </w:rPr>
  </w:style>
  <w:style w:type="character" w:customStyle="1" w:styleId="CommentSubjectChar">
    <w:name w:val="Comment Subject Char"/>
    <w:basedOn w:val="CommentTextChar"/>
    <w:link w:val="CommentSubject"/>
    <w:uiPriority w:val="99"/>
    <w:semiHidden/>
    <w:rsid w:val="00873D8D"/>
    <w:rPr>
      <w:b/>
      <w:bCs/>
      <w:sz w:val="20"/>
      <w:szCs w:val="20"/>
    </w:rPr>
  </w:style>
  <w:style w:type="paragraph" w:styleId="BalloonText">
    <w:name w:val="Balloon Text"/>
    <w:basedOn w:val="Normal"/>
    <w:link w:val="BalloonTextChar"/>
    <w:uiPriority w:val="99"/>
    <w:semiHidden/>
    <w:unhideWhenUsed/>
    <w:rsid w:val="00873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D8D"/>
    <w:rPr>
      <w:rFonts w:ascii="Segoe UI" w:hAnsi="Segoe UI" w:cs="Segoe UI"/>
      <w:sz w:val="18"/>
      <w:szCs w:val="18"/>
    </w:rPr>
  </w:style>
  <w:style w:type="character" w:customStyle="1" w:styleId="Heading3Char">
    <w:name w:val="Heading 3 Char"/>
    <w:basedOn w:val="DefaultParagraphFont"/>
    <w:link w:val="Heading3"/>
    <w:uiPriority w:val="9"/>
    <w:rsid w:val="007F660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7D757A"/>
    <w:rPr>
      <w:color w:val="0000FF"/>
      <w:u w:val="single"/>
    </w:rPr>
  </w:style>
  <w:style w:type="character" w:styleId="FollowedHyperlink">
    <w:name w:val="FollowedHyperlink"/>
    <w:basedOn w:val="DefaultParagraphFont"/>
    <w:uiPriority w:val="99"/>
    <w:semiHidden/>
    <w:unhideWhenUsed/>
    <w:rsid w:val="007D7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352139">
      <w:bodyDiv w:val="1"/>
      <w:marLeft w:val="0"/>
      <w:marRight w:val="0"/>
      <w:marTop w:val="0"/>
      <w:marBottom w:val="0"/>
      <w:divBdr>
        <w:top w:val="none" w:sz="0" w:space="0" w:color="auto"/>
        <w:left w:val="none" w:sz="0" w:space="0" w:color="auto"/>
        <w:bottom w:val="none" w:sz="0" w:space="0" w:color="auto"/>
        <w:right w:val="none" w:sz="0" w:space="0" w:color="auto"/>
      </w:divBdr>
    </w:div>
    <w:div w:id="39663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76d91f-c9e9-4947-a3d7-a61f722204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0DBD3B3F14F408BD24DB151985CE3" ma:contentTypeVersion="10" ma:contentTypeDescription="Create a new document." ma:contentTypeScope="" ma:versionID="800b75c814f14ad71ac889c97f65bad7">
  <xsd:schema xmlns:xsd="http://www.w3.org/2001/XMLSchema" xmlns:xs="http://www.w3.org/2001/XMLSchema" xmlns:p="http://schemas.microsoft.com/office/2006/metadata/properties" xmlns:ns3="6576d91f-c9e9-4947-a3d7-a61f72220494" targetNamespace="http://schemas.microsoft.com/office/2006/metadata/properties" ma:root="true" ma:fieldsID="18b67b61d6313147c5bae85b0aa1e2c2" ns3:_="">
    <xsd:import namespace="6576d91f-c9e9-4947-a3d7-a61f7222049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6d91f-c9e9-4947-a3d7-a61f722204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23F88-1BC5-494B-96BD-BD5BB7874980}">
  <ds:schemaRefs>
    <ds:schemaRef ds:uri="6576d91f-c9e9-4947-a3d7-a61f7222049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7A5D24-5F7C-4184-8096-9A1721B04548}">
  <ds:schemaRefs>
    <ds:schemaRef ds:uri="http://schemas.microsoft.com/sharepoint/v3/contenttype/forms"/>
  </ds:schemaRefs>
</ds:datastoreItem>
</file>

<file path=customXml/itemProps3.xml><?xml version="1.0" encoding="utf-8"?>
<ds:datastoreItem xmlns:ds="http://schemas.openxmlformats.org/officeDocument/2006/customXml" ds:itemID="{CE2BBFA6-91E9-49CF-8DFB-9A2A5A9F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6d91f-c9e9-4947-a3d7-a61f72220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First Nations Digital Inclusion Advisory Group–Meeting 11–communique</vt:lpstr>
    </vt:vector>
  </TitlesOfParts>
  <Company>Australian Government, Department of Infrastructure, Transport, Regional Development, Communications, Sport and the Arts</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Digital Inclusion Advisory Group–Meeting 11–communique</dc:title>
  <dc:subject/>
  <dc:creator>Australian Government, Department of Infrastructure, Transport, Regional Development, Communications, Sport and the Arts</dc:creator>
  <cp:keywords/>
  <dc:description/>
  <cp:lastModifiedBy>Hall, Theresa</cp:lastModifiedBy>
  <cp:revision>3</cp:revision>
  <cp:lastPrinted>2025-10-27T00:49:00Z</cp:lastPrinted>
  <dcterms:created xsi:type="dcterms:W3CDTF">2025-10-27T07:16:00Z</dcterms:created>
  <dcterms:modified xsi:type="dcterms:W3CDTF">2025-10-27T07:19:00Z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0x0101002E40DBD3B3F14F408BD24DB151985CE3</vt:lpwstr>
  </property>
</Properties>
</file>